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1D" w:rsidRDefault="009D281D" w:rsidP="00404746">
      <w:pPr>
        <w:pStyle w:val="a3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85438D">
        <w:rPr>
          <w:rFonts w:ascii="Times New Roman" w:hAnsi="Times New Roman"/>
          <w:i/>
          <w:sz w:val="28"/>
          <w:szCs w:val="28"/>
        </w:rPr>
        <w:t>Пресс-выпуск</w:t>
      </w:r>
    </w:p>
    <w:p w:rsidR="00B81B82" w:rsidRPr="00786A35" w:rsidRDefault="009D281D" w:rsidP="00F95061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786A35">
        <w:rPr>
          <w:rFonts w:ascii="Times New Roman" w:hAnsi="Times New Roman"/>
          <w:b/>
          <w:sz w:val="30"/>
          <w:szCs w:val="30"/>
        </w:rPr>
        <w:t>Об измен</w:t>
      </w:r>
      <w:r w:rsidR="00B713F6" w:rsidRPr="00786A35">
        <w:rPr>
          <w:rFonts w:ascii="Times New Roman" w:hAnsi="Times New Roman"/>
          <w:b/>
          <w:sz w:val="30"/>
          <w:szCs w:val="30"/>
        </w:rPr>
        <w:t xml:space="preserve">ении цен производителей </w:t>
      </w:r>
      <w:r w:rsidR="00B81B82" w:rsidRPr="00786A35">
        <w:rPr>
          <w:rFonts w:ascii="Times New Roman" w:hAnsi="Times New Roman"/>
          <w:b/>
          <w:sz w:val="30"/>
          <w:szCs w:val="30"/>
        </w:rPr>
        <w:t>Пензенской области</w:t>
      </w:r>
    </w:p>
    <w:p w:rsidR="009D281D" w:rsidRPr="00627619" w:rsidRDefault="00780B1C" w:rsidP="00F95061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786A35">
        <w:rPr>
          <w:rFonts w:ascii="Times New Roman" w:hAnsi="Times New Roman"/>
          <w:b/>
          <w:sz w:val="30"/>
          <w:szCs w:val="30"/>
        </w:rPr>
        <w:t xml:space="preserve">в </w:t>
      </w:r>
      <w:r w:rsidR="00B31A91">
        <w:rPr>
          <w:rFonts w:ascii="Times New Roman" w:hAnsi="Times New Roman"/>
          <w:b/>
          <w:sz w:val="30"/>
          <w:szCs w:val="30"/>
        </w:rPr>
        <w:t>мае</w:t>
      </w:r>
      <w:r w:rsidR="00F532BC" w:rsidRPr="00786A35">
        <w:rPr>
          <w:rFonts w:ascii="Times New Roman" w:hAnsi="Times New Roman"/>
          <w:b/>
          <w:sz w:val="30"/>
          <w:szCs w:val="30"/>
        </w:rPr>
        <w:t xml:space="preserve"> 2020</w:t>
      </w:r>
      <w:r w:rsidR="009D281D" w:rsidRPr="00786A35">
        <w:rPr>
          <w:rFonts w:ascii="Times New Roman" w:hAnsi="Times New Roman"/>
          <w:b/>
          <w:sz w:val="30"/>
          <w:szCs w:val="30"/>
        </w:rPr>
        <w:t xml:space="preserve"> года</w:t>
      </w:r>
    </w:p>
    <w:p w:rsidR="00AC572C" w:rsidRPr="00E23388" w:rsidRDefault="00AC572C" w:rsidP="004930E3">
      <w:pPr>
        <w:spacing w:before="240"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388">
        <w:rPr>
          <w:rFonts w:ascii="Times New Roman" w:hAnsi="Times New Roman"/>
          <w:b/>
          <w:sz w:val="28"/>
          <w:szCs w:val="28"/>
        </w:rPr>
        <w:t>Индекс цен производителей промышленных товаров,</w:t>
      </w:r>
      <w:r w:rsidRPr="00E23388">
        <w:rPr>
          <w:rFonts w:ascii="Times New Roman" w:hAnsi="Times New Roman"/>
          <w:sz w:val="28"/>
          <w:szCs w:val="28"/>
        </w:rPr>
        <w:t xml:space="preserve"> предназначенных для реализации на внутреннем рынке, </w:t>
      </w:r>
      <w:r w:rsidR="005B3508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1A91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5B3508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по отношению к </w:t>
      </w:r>
      <w:r w:rsidR="00B31A91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апрелю</w:t>
      </w:r>
      <w:r w:rsidR="0085601B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AC1C48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составил </w:t>
      </w:r>
      <w:r w:rsidR="00F35C10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101,2</w:t>
      </w:r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(в </w:t>
      </w:r>
      <w:r w:rsidR="00B31A91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5B3508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по отношению к </w:t>
      </w:r>
      <w:r w:rsidR="00B31A91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апрелю</w:t>
      </w:r>
      <w:r w:rsidR="001C2CA7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D56F0D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99,6</w:t>
      </w:r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том числе по видам деятельности </w:t>
      </w:r>
      <w:r w:rsidR="00404746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полезных ископаемых</w:t>
      </w:r>
      <w:r w:rsidR="00404746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1C48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100,</w:t>
      </w:r>
      <w:r w:rsidR="00F35C10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4C4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(100,5</w:t>
      </w:r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04746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</w:t>
      </w:r>
      <w:r w:rsidR="00F5133D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атывающие производства</w:t>
      </w:r>
      <w:r w:rsidR="00404746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1C48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35C10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101,3</w:t>
      </w:r>
      <w:r w:rsidR="00F5133D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6F0D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1C48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04746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электрической энергией, газом и паром;</w:t>
      </w:r>
      <w:proofErr w:type="gramEnd"/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кондиционирование воз</w:t>
      </w:r>
      <w:r w:rsidR="00F5133D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духа</w:t>
      </w:r>
      <w:r w:rsidR="00404746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133D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35C10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 w:rsidR="00AC1C48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D44C4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100,8</w:t>
      </w:r>
      <w:r w:rsidR="00842F5D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4746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</w:t>
      </w:r>
      <w:r w:rsidR="00404746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5133D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загрязнений</w:t>
      </w:r>
      <w:r w:rsidR="00404746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1C48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100,0</w:t>
      </w:r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</w:t>
      </w:r>
      <w:r w:rsidR="00A66078"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07420" w:rsidRPr="009E3452" w:rsidRDefault="00B07420" w:rsidP="009873F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4746" w:rsidRPr="009E3452" w:rsidRDefault="00AC572C" w:rsidP="00AC572C">
      <w:pPr>
        <w:suppressAutoHyphens/>
        <w:spacing w:after="0" w:line="216" w:lineRule="auto"/>
        <w:jc w:val="center"/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</w:pPr>
      <w:r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Индексы цен производителей промышленны</w:t>
      </w:r>
      <w:r w:rsidR="00404746"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х товаров по Пензенской области</w:t>
      </w:r>
    </w:p>
    <w:p w:rsidR="00AC572C" w:rsidRPr="009E3452" w:rsidRDefault="00367C1F" w:rsidP="00AC572C">
      <w:pPr>
        <w:suppressAutoHyphens/>
        <w:spacing w:after="0" w:line="216" w:lineRule="auto"/>
        <w:jc w:val="center"/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</w:pPr>
      <w:r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в </w:t>
      </w:r>
      <w:r w:rsidR="00B31A91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мае</w:t>
      </w:r>
      <w:r w:rsidR="00AC572C"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</w:t>
      </w:r>
      <w:r w:rsidR="00BD4DD0"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2020</w:t>
      </w:r>
      <w:r w:rsidR="00AC572C"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 г.</w:t>
      </w:r>
    </w:p>
    <w:p w:rsidR="00AC572C" w:rsidRDefault="00AC572C" w:rsidP="00404746">
      <w:pPr>
        <w:suppressAutoHyphens/>
        <w:spacing w:after="0" w:line="216" w:lineRule="auto"/>
        <w:ind w:right="-1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E345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(</w:t>
      </w:r>
      <w:r w:rsidR="003E3381" w:rsidRPr="009E3452">
        <w:rPr>
          <w:rFonts w:ascii="Times New Roman" w:hAnsi="Times New Roman"/>
          <w:snapToGrid w:val="0"/>
          <w:sz w:val="24"/>
          <w:szCs w:val="24"/>
          <w:lang w:eastAsia="ru-RU"/>
        </w:rPr>
        <w:t>к</w:t>
      </w:r>
      <w:r w:rsidR="006814F5" w:rsidRPr="009E345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предыдущему месяцу</w:t>
      </w:r>
      <w:r w:rsidRPr="009E3452">
        <w:rPr>
          <w:rFonts w:ascii="Times New Roman" w:hAnsi="Times New Roman"/>
          <w:snapToGrid w:val="0"/>
          <w:sz w:val="24"/>
          <w:szCs w:val="24"/>
          <w:lang w:eastAsia="ru-RU"/>
        </w:rPr>
        <w:t>; в процентах)</w:t>
      </w:r>
    </w:p>
    <w:p w:rsidR="00BC7FD9" w:rsidRPr="009E3452" w:rsidRDefault="00BC7FD9" w:rsidP="00404746">
      <w:pPr>
        <w:suppressAutoHyphens/>
        <w:spacing w:after="0" w:line="216" w:lineRule="auto"/>
        <w:ind w:right="-1"/>
        <w:jc w:val="center"/>
        <w:rPr>
          <w:rFonts w:ascii="Times New Roman" w:hAnsi="Times New Roman"/>
          <w:b/>
          <w:iCs/>
          <w:snapToGrid w:val="0"/>
          <w:lang w:eastAsia="ru-RU"/>
        </w:rPr>
      </w:pPr>
    </w:p>
    <w:p w:rsidR="00AC572C" w:rsidRPr="00C67C62" w:rsidRDefault="00AC572C" w:rsidP="00AC572C">
      <w:pPr>
        <w:suppressAutoHyphens/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62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4A67C96B" wp14:editId="0AA6EA56">
            <wp:extent cx="5495925" cy="5276850"/>
            <wp:effectExtent l="0" t="0" r="0" b="0"/>
            <wp:docPr id="1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6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C62" w:rsidRPr="00C67C62" w:rsidRDefault="00C67C62" w:rsidP="007375C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2020</w:t>
      </w:r>
      <w:r w:rsidR="0073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C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отношению к апрелю 2020</w:t>
      </w:r>
      <w:r w:rsidR="0073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C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снизились цены на бетон товарный на 10,2%,</w:t>
      </w:r>
      <w:r w:rsidRPr="00C67C62">
        <w:rPr>
          <w:rFonts w:ascii="Arial" w:eastAsia="Times New Roman" w:hAnsi="Arial" w:cs="Times New Roman"/>
          <w:color w:val="0070C0"/>
          <w:szCs w:val="20"/>
          <w:lang w:eastAsia="ru-RU"/>
        </w:rPr>
        <w:t xml:space="preserve"> </w:t>
      </w:r>
      <w:r w:rsidRPr="00C6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субпродукты свиные замороженные – на 9,4, мясо </w:t>
      </w:r>
      <w:r w:rsidRPr="00C67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сельскохозяйственной птицы и прочие продукты убоя – на 7,5, крупу гречневую – на 7,3, смеси асфальтобетонные – на 4,1, свинину парную, остывшую или охлажденную – </w:t>
      </w:r>
      <w:proofErr w:type="gramStart"/>
      <w:r w:rsidRPr="00C67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6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3,5%.</w:t>
      </w:r>
    </w:p>
    <w:p w:rsidR="00C67C62" w:rsidRPr="00C67C62" w:rsidRDefault="00C67C62" w:rsidP="007375C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Выросли цены на пиломатериалы хвойных пород на 20,0%, блоки стеновые силикатные – на 19,4, комбикорма и сахар – на 14,7, изделия макаронные – на 11,3, масло подсолнечное нерафинированное – на 6,1, продукты кисломолочные (кроме сметаны) – </w:t>
      </w:r>
      <w:proofErr w:type="gramStart"/>
      <w:r w:rsidRPr="00C67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67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1,6%.</w:t>
      </w:r>
    </w:p>
    <w:p w:rsidR="00C15D43" w:rsidRPr="00E23388" w:rsidRDefault="00DF77B0" w:rsidP="004930E3">
      <w:pPr>
        <w:pStyle w:val="a3"/>
        <w:spacing w:line="264" w:lineRule="auto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b/>
          <w:sz w:val="28"/>
          <w:szCs w:val="28"/>
        </w:rPr>
        <w:t>Индекс цен производителей сельскохозяйственной продукции</w:t>
      </w:r>
      <w:r w:rsidR="00404746" w:rsidRPr="00E23388">
        <w:rPr>
          <w:rFonts w:ascii="Times New Roman" w:hAnsi="Times New Roman"/>
          <w:b/>
          <w:sz w:val="28"/>
          <w:szCs w:val="28"/>
        </w:rPr>
        <w:t xml:space="preserve"> </w:t>
      </w:r>
      <w:r w:rsidR="00F95061" w:rsidRPr="00E23388">
        <w:rPr>
          <w:rFonts w:ascii="Times New Roman" w:hAnsi="Times New Roman"/>
          <w:b/>
          <w:sz w:val="28"/>
          <w:szCs w:val="28"/>
        </w:rPr>
        <w:br/>
      </w:r>
      <w:r w:rsidR="008D5940" w:rsidRPr="00E23388">
        <w:rPr>
          <w:rFonts w:ascii="Times New Roman" w:hAnsi="Times New Roman"/>
          <w:sz w:val="28"/>
          <w:szCs w:val="28"/>
        </w:rPr>
        <w:t xml:space="preserve">по Пензенской области в </w:t>
      </w:r>
      <w:r w:rsidR="00B31A91" w:rsidRPr="00E23388">
        <w:rPr>
          <w:rFonts w:ascii="Times New Roman" w:hAnsi="Times New Roman"/>
          <w:sz w:val="28"/>
          <w:szCs w:val="28"/>
        </w:rPr>
        <w:t>мае</w:t>
      </w:r>
      <w:r w:rsidR="00582234" w:rsidRPr="00E23388">
        <w:rPr>
          <w:rFonts w:ascii="Times New Roman" w:hAnsi="Times New Roman"/>
          <w:sz w:val="28"/>
          <w:szCs w:val="28"/>
        </w:rPr>
        <w:t xml:space="preserve"> 2020</w:t>
      </w:r>
      <w:r w:rsidR="00E57F1D" w:rsidRPr="00E23388">
        <w:rPr>
          <w:rFonts w:ascii="Times New Roman" w:hAnsi="Times New Roman"/>
          <w:sz w:val="28"/>
          <w:szCs w:val="28"/>
        </w:rPr>
        <w:t xml:space="preserve"> </w:t>
      </w:r>
      <w:r w:rsidR="003353B3" w:rsidRPr="00E23388">
        <w:rPr>
          <w:rFonts w:ascii="Times New Roman" w:hAnsi="Times New Roman"/>
          <w:sz w:val="28"/>
          <w:szCs w:val="28"/>
        </w:rPr>
        <w:t xml:space="preserve">г. по отношению к </w:t>
      </w:r>
      <w:r w:rsidR="00B31A91" w:rsidRPr="00E23388">
        <w:rPr>
          <w:rFonts w:ascii="Times New Roman" w:hAnsi="Times New Roman"/>
          <w:sz w:val="28"/>
          <w:szCs w:val="28"/>
        </w:rPr>
        <w:t>апрелю</w:t>
      </w:r>
      <w:r w:rsidR="00637112" w:rsidRPr="00E23388">
        <w:rPr>
          <w:rFonts w:ascii="Times New Roman" w:hAnsi="Times New Roman"/>
          <w:sz w:val="28"/>
          <w:szCs w:val="28"/>
        </w:rPr>
        <w:t xml:space="preserve"> 2020</w:t>
      </w:r>
      <w:r w:rsidR="00E57F1D" w:rsidRPr="00E23388">
        <w:rPr>
          <w:rFonts w:ascii="Times New Roman" w:hAnsi="Times New Roman"/>
          <w:sz w:val="28"/>
          <w:szCs w:val="28"/>
        </w:rPr>
        <w:t xml:space="preserve"> </w:t>
      </w:r>
      <w:r w:rsidR="00626211" w:rsidRPr="00E23388">
        <w:rPr>
          <w:rFonts w:ascii="Times New Roman" w:hAnsi="Times New Roman"/>
          <w:sz w:val="28"/>
          <w:szCs w:val="28"/>
        </w:rPr>
        <w:t xml:space="preserve">г. </w:t>
      </w:r>
      <w:r w:rsidR="00BE228B" w:rsidRPr="00E23388">
        <w:rPr>
          <w:rFonts w:ascii="Times New Roman" w:hAnsi="Times New Roman"/>
          <w:sz w:val="28"/>
          <w:szCs w:val="28"/>
        </w:rPr>
        <w:t>составил 99,8</w:t>
      </w:r>
      <w:r w:rsidR="00582234" w:rsidRPr="00E23388">
        <w:rPr>
          <w:rFonts w:ascii="Times New Roman" w:hAnsi="Times New Roman"/>
          <w:sz w:val="28"/>
          <w:szCs w:val="28"/>
        </w:rPr>
        <w:t>%</w:t>
      </w:r>
      <w:r w:rsidR="001527DC" w:rsidRPr="00E23388">
        <w:rPr>
          <w:rFonts w:ascii="Times New Roman" w:hAnsi="Times New Roman"/>
          <w:sz w:val="28"/>
          <w:szCs w:val="28"/>
        </w:rPr>
        <w:t xml:space="preserve"> (в </w:t>
      </w:r>
      <w:r w:rsidR="00B31A91" w:rsidRPr="00E23388">
        <w:rPr>
          <w:rFonts w:ascii="Times New Roman" w:hAnsi="Times New Roman"/>
          <w:sz w:val="28"/>
          <w:szCs w:val="28"/>
        </w:rPr>
        <w:t>мае</w:t>
      </w:r>
      <w:r w:rsidR="001527DC" w:rsidRPr="00E23388">
        <w:rPr>
          <w:rFonts w:ascii="Times New Roman" w:hAnsi="Times New Roman"/>
          <w:sz w:val="28"/>
          <w:szCs w:val="28"/>
        </w:rPr>
        <w:t xml:space="preserve"> 2019 г. по отношению к </w:t>
      </w:r>
      <w:r w:rsidR="0065442C" w:rsidRPr="00E23388">
        <w:rPr>
          <w:rFonts w:ascii="Times New Roman" w:hAnsi="Times New Roman"/>
          <w:sz w:val="28"/>
          <w:szCs w:val="28"/>
        </w:rPr>
        <w:t>ап</w:t>
      </w:r>
      <w:r w:rsidR="00B31A91" w:rsidRPr="00E23388">
        <w:rPr>
          <w:rFonts w:ascii="Times New Roman" w:hAnsi="Times New Roman"/>
          <w:sz w:val="28"/>
          <w:szCs w:val="28"/>
        </w:rPr>
        <w:t>релю</w:t>
      </w:r>
      <w:r w:rsidR="00A02EA3" w:rsidRPr="00E23388">
        <w:rPr>
          <w:rFonts w:ascii="Times New Roman" w:hAnsi="Times New Roman"/>
          <w:sz w:val="28"/>
          <w:szCs w:val="28"/>
        </w:rPr>
        <w:t xml:space="preserve"> 2019</w:t>
      </w:r>
      <w:r w:rsidR="001527DC" w:rsidRPr="00E23388">
        <w:rPr>
          <w:rFonts w:ascii="Times New Roman" w:hAnsi="Times New Roman"/>
          <w:sz w:val="28"/>
          <w:szCs w:val="28"/>
        </w:rPr>
        <w:t xml:space="preserve"> </w:t>
      </w:r>
      <w:r w:rsidR="00F61DE5" w:rsidRPr="00E23388">
        <w:rPr>
          <w:rFonts w:ascii="Times New Roman" w:hAnsi="Times New Roman"/>
          <w:sz w:val="28"/>
          <w:szCs w:val="28"/>
        </w:rPr>
        <w:t xml:space="preserve">г. – </w:t>
      </w:r>
      <w:r w:rsidR="0065442C" w:rsidRPr="00E23388">
        <w:rPr>
          <w:rFonts w:ascii="Times New Roman" w:hAnsi="Times New Roman"/>
          <w:sz w:val="28"/>
          <w:szCs w:val="28"/>
        </w:rPr>
        <w:t>99,2</w:t>
      </w:r>
      <w:r w:rsidR="001527DC" w:rsidRPr="00E23388">
        <w:rPr>
          <w:rFonts w:ascii="Times New Roman" w:hAnsi="Times New Roman"/>
          <w:sz w:val="28"/>
          <w:szCs w:val="28"/>
        </w:rPr>
        <w:t>)</w:t>
      </w:r>
      <w:r w:rsidR="00582234" w:rsidRPr="00E23388">
        <w:rPr>
          <w:rFonts w:ascii="Times New Roman" w:hAnsi="Times New Roman"/>
          <w:sz w:val="28"/>
          <w:szCs w:val="28"/>
        </w:rPr>
        <w:t>,</w:t>
      </w:r>
      <w:r w:rsidR="00404746" w:rsidRPr="00E23388">
        <w:rPr>
          <w:rFonts w:ascii="Times New Roman" w:hAnsi="Times New Roman"/>
          <w:sz w:val="28"/>
          <w:szCs w:val="28"/>
        </w:rPr>
        <w:t xml:space="preserve"> </w:t>
      </w:r>
      <w:r w:rsidR="003353B3" w:rsidRPr="00E23388">
        <w:rPr>
          <w:rFonts w:ascii="Times New Roman" w:hAnsi="Times New Roman"/>
          <w:sz w:val="28"/>
          <w:szCs w:val="28"/>
        </w:rPr>
        <w:t>в то</w:t>
      </w:r>
      <w:r w:rsidR="00A71214" w:rsidRPr="00E23388">
        <w:rPr>
          <w:rFonts w:ascii="Times New Roman" w:hAnsi="Times New Roman"/>
          <w:sz w:val="28"/>
          <w:szCs w:val="28"/>
        </w:rPr>
        <w:t xml:space="preserve">м числе </w:t>
      </w:r>
      <w:r w:rsidR="00AB233C" w:rsidRPr="00E23388">
        <w:rPr>
          <w:rFonts w:ascii="Times New Roman" w:hAnsi="Times New Roman"/>
          <w:sz w:val="28"/>
          <w:szCs w:val="28"/>
        </w:rPr>
        <w:br/>
      </w:r>
      <w:r w:rsidR="00A71214" w:rsidRPr="00E23388">
        <w:rPr>
          <w:rFonts w:ascii="Times New Roman" w:hAnsi="Times New Roman"/>
          <w:sz w:val="28"/>
          <w:szCs w:val="28"/>
        </w:rPr>
        <w:t>в растениеводстве – 100,</w:t>
      </w:r>
      <w:r w:rsidR="00BE228B" w:rsidRPr="00E23388">
        <w:rPr>
          <w:rFonts w:ascii="Times New Roman" w:hAnsi="Times New Roman"/>
          <w:sz w:val="28"/>
          <w:szCs w:val="28"/>
        </w:rPr>
        <w:t>6</w:t>
      </w:r>
      <w:r w:rsidR="0065442C" w:rsidRPr="00E23388">
        <w:rPr>
          <w:rFonts w:ascii="Times New Roman" w:hAnsi="Times New Roman"/>
          <w:sz w:val="28"/>
          <w:szCs w:val="28"/>
        </w:rPr>
        <w:t xml:space="preserve"> (99,5</w:t>
      </w:r>
      <w:r w:rsidR="001527DC" w:rsidRPr="00E23388">
        <w:rPr>
          <w:rFonts w:ascii="Times New Roman" w:hAnsi="Times New Roman"/>
          <w:sz w:val="28"/>
          <w:szCs w:val="28"/>
        </w:rPr>
        <w:t>),</w:t>
      </w:r>
      <w:r w:rsidR="00582234" w:rsidRPr="00E23388">
        <w:rPr>
          <w:rFonts w:ascii="Times New Roman" w:hAnsi="Times New Roman"/>
          <w:sz w:val="28"/>
          <w:szCs w:val="28"/>
        </w:rPr>
        <w:t xml:space="preserve"> в животновод</w:t>
      </w:r>
      <w:r w:rsidR="00BE228B" w:rsidRPr="00E23388">
        <w:rPr>
          <w:rFonts w:ascii="Times New Roman" w:hAnsi="Times New Roman"/>
          <w:sz w:val="28"/>
          <w:szCs w:val="28"/>
        </w:rPr>
        <w:t>стве – 99</w:t>
      </w:r>
      <w:r w:rsidR="003C1DB1" w:rsidRPr="00E23388">
        <w:rPr>
          <w:rFonts w:ascii="Times New Roman" w:hAnsi="Times New Roman"/>
          <w:sz w:val="28"/>
          <w:szCs w:val="28"/>
        </w:rPr>
        <w:t>,</w:t>
      </w:r>
      <w:r w:rsidR="00AB233C" w:rsidRPr="00E23388">
        <w:rPr>
          <w:rFonts w:ascii="Times New Roman" w:hAnsi="Times New Roman"/>
          <w:sz w:val="28"/>
          <w:szCs w:val="28"/>
        </w:rPr>
        <w:t>3</w:t>
      </w:r>
      <w:r w:rsidR="00D90706" w:rsidRPr="00E23388">
        <w:rPr>
          <w:rFonts w:ascii="Times New Roman" w:hAnsi="Times New Roman"/>
          <w:sz w:val="28"/>
          <w:szCs w:val="28"/>
        </w:rPr>
        <w:t xml:space="preserve"> (</w:t>
      </w:r>
      <w:r w:rsidR="0065442C" w:rsidRPr="00E23388">
        <w:rPr>
          <w:rFonts w:ascii="Times New Roman" w:hAnsi="Times New Roman"/>
          <w:sz w:val="28"/>
          <w:szCs w:val="28"/>
        </w:rPr>
        <w:t>99,0</w:t>
      </w:r>
      <w:r w:rsidR="00582234" w:rsidRPr="00E23388">
        <w:rPr>
          <w:rFonts w:ascii="Times New Roman" w:hAnsi="Times New Roman"/>
          <w:sz w:val="28"/>
          <w:szCs w:val="28"/>
        </w:rPr>
        <w:t>%</w:t>
      </w:r>
      <w:r w:rsidR="001527DC" w:rsidRPr="00E23388">
        <w:rPr>
          <w:rFonts w:ascii="Times New Roman" w:hAnsi="Times New Roman"/>
          <w:sz w:val="28"/>
          <w:szCs w:val="28"/>
        </w:rPr>
        <w:t>)</w:t>
      </w:r>
      <w:r w:rsidR="003353B3" w:rsidRPr="00E23388">
        <w:rPr>
          <w:rFonts w:ascii="Times New Roman" w:hAnsi="Times New Roman"/>
          <w:sz w:val="28"/>
          <w:szCs w:val="28"/>
        </w:rPr>
        <w:t>.</w:t>
      </w:r>
    </w:p>
    <w:p w:rsidR="001A4039" w:rsidRPr="009E3452" w:rsidRDefault="001A4039" w:rsidP="004930E3">
      <w:pPr>
        <w:pStyle w:val="a3"/>
        <w:spacing w:line="264" w:lineRule="auto"/>
        <w:rPr>
          <w:rFonts w:ascii="Times New Roman" w:hAnsi="Times New Roman"/>
          <w:sz w:val="16"/>
          <w:szCs w:val="16"/>
        </w:rPr>
      </w:pPr>
    </w:p>
    <w:p w:rsidR="00404746" w:rsidRPr="009E3452" w:rsidRDefault="008931F7" w:rsidP="00404746">
      <w:pPr>
        <w:keepNext/>
        <w:spacing w:before="120" w:after="0" w:line="240" w:lineRule="auto"/>
        <w:jc w:val="center"/>
        <w:outlineLvl w:val="3"/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</w:pPr>
      <w:r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Индексы цен производителей сельскохозяйственной продукции в </w:t>
      </w:r>
      <w:r w:rsidR="00BD4DD0"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 xml:space="preserve">2020 </w:t>
      </w:r>
      <w:r w:rsidRPr="009E3452">
        <w:rPr>
          <w:rFonts w:ascii="Times New Roman" w:hAnsi="Times New Roman"/>
          <w:b/>
          <w:iCs/>
          <w:snapToGrid w:val="0"/>
          <w:sz w:val="28"/>
          <w:szCs w:val="28"/>
          <w:lang w:eastAsia="ru-RU"/>
        </w:rPr>
        <w:t>г.</w:t>
      </w:r>
    </w:p>
    <w:p w:rsidR="008931F7" w:rsidRDefault="008931F7" w:rsidP="008931F7">
      <w:pPr>
        <w:keepNext/>
        <w:spacing w:after="0" w:line="240" w:lineRule="auto"/>
        <w:jc w:val="center"/>
        <w:outlineLvl w:val="3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E3452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bookmarkStart w:id="0" w:name="_Toc346786876"/>
      <w:bookmarkStart w:id="1" w:name="_Toc385578588"/>
      <w:bookmarkStart w:id="2" w:name="_Toc399839551"/>
      <w:r w:rsidRPr="009E3452">
        <w:rPr>
          <w:rFonts w:ascii="Times New Roman" w:hAnsi="Times New Roman"/>
          <w:snapToGrid w:val="0"/>
          <w:sz w:val="24"/>
          <w:szCs w:val="24"/>
          <w:lang w:eastAsia="ru-RU"/>
        </w:rPr>
        <w:t>(к предыдущему месяцу; в процентах)</w:t>
      </w:r>
      <w:bookmarkEnd w:id="0"/>
      <w:bookmarkEnd w:id="1"/>
      <w:bookmarkEnd w:id="2"/>
    </w:p>
    <w:p w:rsidR="00CE3203" w:rsidRPr="009E3452" w:rsidRDefault="00CE3203" w:rsidP="008931F7">
      <w:pPr>
        <w:keepNext/>
        <w:spacing w:after="0" w:line="240" w:lineRule="auto"/>
        <w:jc w:val="center"/>
        <w:outlineLvl w:val="3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8931F7" w:rsidRPr="009E3452" w:rsidRDefault="008931F7" w:rsidP="008931F7">
      <w:pPr>
        <w:pStyle w:val="a3"/>
        <w:spacing w:line="300" w:lineRule="auto"/>
        <w:rPr>
          <w:rFonts w:ascii="Times New Roman" w:hAnsi="Times New Roman"/>
          <w:sz w:val="28"/>
          <w:szCs w:val="28"/>
        </w:rPr>
      </w:pPr>
      <w:r w:rsidRPr="009E3452">
        <w:rPr>
          <w:noProof/>
          <w:sz w:val="20"/>
        </w:rPr>
        <w:drawing>
          <wp:inline distT="0" distB="0" distL="0" distR="0" wp14:anchorId="413AA25B" wp14:editId="01734525">
            <wp:extent cx="5972175" cy="30194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6937" w:rsidRPr="009E3452" w:rsidRDefault="009E6937" w:rsidP="00F61DE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388" w:rsidRPr="00E23388" w:rsidRDefault="00E23388" w:rsidP="00E2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2020</w:t>
      </w:r>
      <w:r w:rsidR="0072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отношению к апрелю 2020</w:t>
      </w:r>
      <w:r w:rsidR="0072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GoBack"/>
      <w:bookmarkEnd w:id="3"/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из продукции растениеводства снизились цены на огурцы закрытого грунта на 10,6%. Выросли цены на картофель на 12,6%, гречиху – на 7,3, пшеницу – на 1,4%.</w:t>
      </w:r>
    </w:p>
    <w:p w:rsidR="00E23388" w:rsidRPr="00E23388" w:rsidRDefault="00E23388" w:rsidP="00E2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продукции животноводства снизились цены на яйца куриные на 9,8%, молоко и крупный рогатый скот в живом весе – на 0,6%. Выросли цены на лошадей в живом весе на 0,7%.</w:t>
      </w:r>
    </w:p>
    <w:p w:rsidR="00975A55" w:rsidRPr="009E3452" w:rsidRDefault="00975A55" w:rsidP="00D5120E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404746" w:rsidRPr="009E3452" w:rsidRDefault="00D5120E" w:rsidP="00975A55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9E34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И.А. Усанова,</w:t>
      </w:r>
    </w:p>
    <w:p w:rsidR="00F46CD8" w:rsidRPr="00677DE7" w:rsidRDefault="00D5120E" w:rsidP="00404746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ru-RU"/>
        </w:rPr>
      </w:pPr>
      <w:r w:rsidRPr="009E345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начальник отдела </w:t>
      </w:r>
      <w:r w:rsidRPr="00484F7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статистики цен и финансов</w:t>
      </w:r>
    </w:p>
    <w:sectPr w:rsidR="00F46CD8" w:rsidRPr="00677DE7" w:rsidSect="004047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2C" w:rsidRDefault="00AC572C" w:rsidP="00AC572C">
      <w:pPr>
        <w:spacing w:after="0" w:line="240" w:lineRule="auto"/>
      </w:pPr>
      <w:r>
        <w:separator/>
      </w:r>
    </w:p>
  </w:endnote>
  <w:endnote w:type="continuationSeparator" w:id="0">
    <w:p w:rsidR="00AC572C" w:rsidRDefault="00AC572C" w:rsidP="00AC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2C" w:rsidRDefault="00AC572C" w:rsidP="00AC572C">
      <w:pPr>
        <w:spacing w:after="0" w:line="240" w:lineRule="auto"/>
      </w:pPr>
      <w:r>
        <w:separator/>
      </w:r>
    </w:p>
  </w:footnote>
  <w:footnote w:type="continuationSeparator" w:id="0">
    <w:p w:rsidR="00AC572C" w:rsidRDefault="00AC572C" w:rsidP="00AC5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B0"/>
    <w:rsid w:val="00003137"/>
    <w:rsid w:val="0001414F"/>
    <w:rsid w:val="00015A89"/>
    <w:rsid w:val="000224B8"/>
    <w:rsid w:val="00027278"/>
    <w:rsid w:val="000321C0"/>
    <w:rsid w:val="00032DFB"/>
    <w:rsid w:val="00033BC8"/>
    <w:rsid w:val="00045624"/>
    <w:rsid w:val="00050B2C"/>
    <w:rsid w:val="0006440C"/>
    <w:rsid w:val="00073464"/>
    <w:rsid w:val="000B374A"/>
    <w:rsid w:val="000D0873"/>
    <w:rsid w:val="000D5601"/>
    <w:rsid w:val="000F0524"/>
    <w:rsid w:val="00102384"/>
    <w:rsid w:val="0011222D"/>
    <w:rsid w:val="0013384D"/>
    <w:rsid w:val="0015019E"/>
    <w:rsid w:val="001520F4"/>
    <w:rsid w:val="001527DC"/>
    <w:rsid w:val="00160AE8"/>
    <w:rsid w:val="00186161"/>
    <w:rsid w:val="001A29F9"/>
    <w:rsid w:val="001A4039"/>
    <w:rsid w:val="001B7B47"/>
    <w:rsid w:val="001C2CA7"/>
    <w:rsid w:val="001E04EA"/>
    <w:rsid w:val="001E6EBD"/>
    <w:rsid w:val="001F196C"/>
    <w:rsid w:val="001F399B"/>
    <w:rsid w:val="00212678"/>
    <w:rsid w:val="0022775F"/>
    <w:rsid w:val="00233C2A"/>
    <w:rsid w:val="00247906"/>
    <w:rsid w:val="00251E33"/>
    <w:rsid w:val="00254916"/>
    <w:rsid w:val="002622C2"/>
    <w:rsid w:val="00272167"/>
    <w:rsid w:val="00283FF4"/>
    <w:rsid w:val="00284945"/>
    <w:rsid w:val="002B39C7"/>
    <w:rsid w:val="002C361C"/>
    <w:rsid w:val="002C731B"/>
    <w:rsid w:val="002D12E9"/>
    <w:rsid w:val="002D7F63"/>
    <w:rsid w:val="002E310D"/>
    <w:rsid w:val="002E7E73"/>
    <w:rsid w:val="002F6CD5"/>
    <w:rsid w:val="003353B3"/>
    <w:rsid w:val="00367C1F"/>
    <w:rsid w:val="00372E5F"/>
    <w:rsid w:val="00395AA5"/>
    <w:rsid w:val="003A77C7"/>
    <w:rsid w:val="003B311A"/>
    <w:rsid w:val="003C1DB1"/>
    <w:rsid w:val="003C2B3D"/>
    <w:rsid w:val="003C5BAB"/>
    <w:rsid w:val="003C76C4"/>
    <w:rsid w:val="003D26CD"/>
    <w:rsid w:val="003D67D1"/>
    <w:rsid w:val="003E3381"/>
    <w:rsid w:val="003F025E"/>
    <w:rsid w:val="00404746"/>
    <w:rsid w:val="0040735F"/>
    <w:rsid w:val="00417725"/>
    <w:rsid w:val="004206BC"/>
    <w:rsid w:val="00436121"/>
    <w:rsid w:val="0044092C"/>
    <w:rsid w:val="00484F74"/>
    <w:rsid w:val="004930E3"/>
    <w:rsid w:val="004A55B5"/>
    <w:rsid w:val="004C3740"/>
    <w:rsid w:val="004C6E00"/>
    <w:rsid w:val="004D1786"/>
    <w:rsid w:val="004D2773"/>
    <w:rsid w:val="004D3BBA"/>
    <w:rsid w:val="004D3D3B"/>
    <w:rsid w:val="004D632F"/>
    <w:rsid w:val="004E7972"/>
    <w:rsid w:val="00520417"/>
    <w:rsid w:val="005315D3"/>
    <w:rsid w:val="005412E3"/>
    <w:rsid w:val="0055529D"/>
    <w:rsid w:val="0056534F"/>
    <w:rsid w:val="00567C44"/>
    <w:rsid w:val="00580F30"/>
    <w:rsid w:val="00582234"/>
    <w:rsid w:val="00583C71"/>
    <w:rsid w:val="005A2976"/>
    <w:rsid w:val="005A31C1"/>
    <w:rsid w:val="005A6D75"/>
    <w:rsid w:val="005B3508"/>
    <w:rsid w:val="005C5A75"/>
    <w:rsid w:val="005C5E75"/>
    <w:rsid w:val="005D6D1A"/>
    <w:rsid w:val="00600543"/>
    <w:rsid w:val="006025F3"/>
    <w:rsid w:val="00616896"/>
    <w:rsid w:val="00626211"/>
    <w:rsid w:val="00627619"/>
    <w:rsid w:val="00636913"/>
    <w:rsid w:val="00637112"/>
    <w:rsid w:val="006447D3"/>
    <w:rsid w:val="0065442C"/>
    <w:rsid w:val="00667EF0"/>
    <w:rsid w:val="00672C2C"/>
    <w:rsid w:val="00677DE7"/>
    <w:rsid w:val="006814F5"/>
    <w:rsid w:val="00694F49"/>
    <w:rsid w:val="006A484E"/>
    <w:rsid w:val="006A5DD8"/>
    <w:rsid w:val="006C1821"/>
    <w:rsid w:val="006C2128"/>
    <w:rsid w:val="006C5E54"/>
    <w:rsid w:val="006D27F0"/>
    <w:rsid w:val="006D5B72"/>
    <w:rsid w:val="006F0388"/>
    <w:rsid w:val="006F615E"/>
    <w:rsid w:val="007104EA"/>
    <w:rsid w:val="00717680"/>
    <w:rsid w:val="00717893"/>
    <w:rsid w:val="00722771"/>
    <w:rsid w:val="007248AA"/>
    <w:rsid w:val="00735631"/>
    <w:rsid w:val="007375C5"/>
    <w:rsid w:val="007416D9"/>
    <w:rsid w:val="007441BE"/>
    <w:rsid w:val="00751A82"/>
    <w:rsid w:val="00766465"/>
    <w:rsid w:val="00780B1C"/>
    <w:rsid w:val="007864A4"/>
    <w:rsid w:val="00786A35"/>
    <w:rsid w:val="00787FD6"/>
    <w:rsid w:val="007B1AE4"/>
    <w:rsid w:val="007D0EF1"/>
    <w:rsid w:val="007D4058"/>
    <w:rsid w:val="007E2CA2"/>
    <w:rsid w:val="00803369"/>
    <w:rsid w:val="00807170"/>
    <w:rsid w:val="008173FA"/>
    <w:rsid w:val="00842F5D"/>
    <w:rsid w:val="0085438D"/>
    <w:rsid w:val="0085601B"/>
    <w:rsid w:val="00862D3B"/>
    <w:rsid w:val="0086681C"/>
    <w:rsid w:val="0087346D"/>
    <w:rsid w:val="008931F7"/>
    <w:rsid w:val="008A1DD4"/>
    <w:rsid w:val="008A2576"/>
    <w:rsid w:val="008C2A5D"/>
    <w:rsid w:val="008D5940"/>
    <w:rsid w:val="008E4223"/>
    <w:rsid w:val="008E447C"/>
    <w:rsid w:val="0091634B"/>
    <w:rsid w:val="00934BB6"/>
    <w:rsid w:val="00975A55"/>
    <w:rsid w:val="009873F1"/>
    <w:rsid w:val="00987A19"/>
    <w:rsid w:val="009A04D2"/>
    <w:rsid w:val="009B363B"/>
    <w:rsid w:val="009C2BB0"/>
    <w:rsid w:val="009C58A4"/>
    <w:rsid w:val="009D281D"/>
    <w:rsid w:val="009D28F0"/>
    <w:rsid w:val="009E3452"/>
    <w:rsid w:val="009E6937"/>
    <w:rsid w:val="009E6C7E"/>
    <w:rsid w:val="00A02EA3"/>
    <w:rsid w:val="00A05ADF"/>
    <w:rsid w:val="00A3689D"/>
    <w:rsid w:val="00A37C0E"/>
    <w:rsid w:val="00A61905"/>
    <w:rsid w:val="00A66078"/>
    <w:rsid w:val="00A669D6"/>
    <w:rsid w:val="00A71214"/>
    <w:rsid w:val="00A73E5F"/>
    <w:rsid w:val="00A91A2E"/>
    <w:rsid w:val="00AA3FE2"/>
    <w:rsid w:val="00AA5D8B"/>
    <w:rsid w:val="00AB233C"/>
    <w:rsid w:val="00AB345B"/>
    <w:rsid w:val="00AB638E"/>
    <w:rsid w:val="00AC050B"/>
    <w:rsid w:val="00AC1C48"/>
    <w:rsid w:val="00AC572C"/>
    <w:rsid w:val="00AD4AA8"/>
    <w:rsid w:val="00AE0ACE"/>
    <w:rsid w:val="00AF0CCA"/>
    <w:rsid w:val="00B016C2"/>
    <w:rsid w:val="00B07420"/>
    <w:rsid w:val="00B222C6"/>
    <w:rsid w:val="00B2477C"/>
    <w:rsid w:val="00B3071E"/>
    <w:rsid w:val="00B31A91"/>
    <w:rsid w:val="00B37FEF"/>
    <w:rsid w:val="00B713F6"/>
    <w:rsid w:val="00B769A5"/>
    <w:rsid w:val="00B81B82"/>
    <w:rsid w:val="00B83C45"/>
    <w:rsid w:val="00BA3E04"/>
    <w:rsid w:val="00BA4146"/>
    <w:rsid w:val="00BC7FD9"/>
    <w:rsid w:val="00BD4DD0"/>
    <w:rsid w:val="00BE0ACE"/>
    <w:rsid w:val="00BE228B"/>
    <w:rsid w:val="00C010C6"/>
    <w:rsid w:val="00C15D43"/>
    <w:rsid w:val="00C17292"/>
    <w:rsid w:val="00C67C62"/>
    <w:rsid w:val="00C91340"/>
    <w:rsid w:val="00CA1FF1"/>
    <w:rsid w:val="00CA542C"/>
    <w:rsid w:val="00CD0504"/>
    <w:rsid w:val="00CD44C4"/>
    <w:rsid w:val="00CE2278"/>
    <w:rsid w:val="00CE3203"/>
    <w:rsid w:val="00CE426D"/>
    <w:rsid w:val="00CE5DF7"/>
    <w:rsid w:val="00CE67EB"/>
    <w:rsid w:val="00CF19E9"/>
    <w:rsid w:val="00D03A5A"/>
    <w:rsid w:val="00D07B75"/>
    <w:rsid w:val="00D23AC5"/>
    <w:rsid w:val="00D45842"/>
    <w:rsid w:val="00D50FD1"/>
    <w:rsid w:val="00D5120E"/>
    <w:rsid w:val="00D56F0D"/>
    <w:rsid w:val="00D72D08"/>
    <w:rsid w:val="00D820EA"/>
    <w:rsid w:val="00D84C86"/>
    <w:rsid w:val="00D90706"/>
    <w:rsid w:val="00D955D2"/>
    <w:rsid w:val="00D95DF1"/>
    <w:rsid w:val="00DA5FA1"/>
    <w:rsid w:val="00DB3A24"/>
    <w:rsid w:val="00DE6583"/>
    <w:rsid w:val="00DF77B0"/>
    <w:rsid w:val="00E07C27"/>
    <w:rsid w:val="00E23388"/>
    <w:rsid w:val="00E3238E"/>
    <w:rsid w:val="00E339C7"/>
    <w:rsid w:val="00E43B45"/>
    <w:rsid w:val="00E46595"/>
    <w:rsid w:val="00E57BE9"/>
    <w:rsid w:val="00E57F1D"/>
    <w:rsid w:val="00E8002B"/>
    <w:rsid w:val="00E8125B"/>
    <w:rsid w:val="00E85A44"/>
    <w:rsid w:val="00E90741"/>
    <w:rsid w:val="00E90EC9"/>
    <w:rsid w:val="00EA5311"/>
    <w:rsid w:val="00EA7F88"/>
    <w:rsid w:val="00EB1A64"/>
    <w:rsid w:val="00EC3917"/>
    <w:rsid w:val="00EE5917"/>
    <w:rsid w:val="00EF2AC2"/>
    <w:rsid w:val="00EF74C3"/>
    <w:rsid w:val="00F073A1"/>
    <w:rsid w:val="00F35C10"/>
    <w:rsid w:val="00F46CD8"/>
    <w:rsid w:val="00F5133D"/>
    <w:rsid w:val="00F532BC"/>
    <w:rsid w:val="00F61DE5"/>
    <w:rsid w:val="00F63153"/>
    <w:rsid w:val="00F95061"/>
    <w:rsid w:val="00FE0E7E"/>
    <w:rsid w:val="00FE499C"/>
    <w:rsid w:val="00FF16AC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link w:val="a4"/>
    <w:rsid w:val="00DF77B0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2E310D"/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72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C572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C572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C57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link w:val="a4"/>
    <w:rsid w:val="00DF77B0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4">
    <w:name w:val="Текстовая часть Знак"/>
    <w:link w:val="a3"/>
    <w:rsid w:val="002E310D"/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72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C572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C572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C5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2970187237233644E-2"/>
          <c:y val="1.2104140577199093E-2"/>
          <c:w val="0.94500354122401364"/>
          <c:h val="0.57943754356908594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invertIfNegative val="0"/>
          <c:dPt>
            <c:idx val="0"/>
            <c:invertIfNegative val="0"/>
            <c:bubble3D val="0"/>
            <c:spPr>
              <a:ln>
                <a:solidFill>
                  <a:srgbClr val="0070C0"/>
                </a:solidFill>
              </a:ln>
            </c:spPr>
          </c:dPt>
          <c:dPt>
            <c:idx val="1"/>
            <c:invertIfNegative val="0"/>
            <c:bubble3D val="0"/>
            <c:spPr>
              <a:ln>
                <a:solidFill>
                  <a:srgbClr val="C00000"/>
                </a:solidFill>
              </a:ln>
            </c:spPr>
          </c:dPt>
          <c:dPt>
            <c:idx val="2"/>
            <c:invertIfNegative val="0"/>
            <c:bubble3D val="0"/>
            <c:spPr>
              <a:ln>
                <a:solidFill>
                  <a:srgbClr val="00B050"/>
                </a:solidFill>
              </a:ln>
            </c:spPr>
          </c:dPt>
          <c:dLbls>
            <c:dLbl>
              <c:idx val="0"/>
              <c:layout>
                <c:manualLayout>
                  <c:x val="1.8228050783080192E-3"/>
                  <c:y val="2.0524744876204554E-2"/>
                </c:manualLayout>
              </c:layout>
              <c:tx>
                <c:rich>
                  <a:bodyPr/>
                  <a:lstStyle/>
                  <a:p>
                    <a:pPr>
                      <a:defRPr sz="1000" b="1" baseline="0">
                        <a:solidFill>
                          <a:srgbClr val="0070C0"/>
                        </a:solidFill>
                        <a:latin typeface="Arial" panose="020B0604020202020204" pitchFamily="34" charset="0"/>
                        <a:cs typeface="Times New Roman" panose="02020603050405020304" pitchFamily="18" charset="0"/>
                      </a:defRPr>
                    </a:pPr>
                    <a:r>
                      <a:rPr lang="ru-RU" sz="1000" baseline="0">
                        <a:solidFill>
                          <a:srgbClr val="0070C0"/>
                        </a:solidFill>
                        <a:latin typeface="Arial" panose="020B0604020202020204" pitchFamily="34" charset="0"/>
                      </a:rPr>
                      <a:t>101,2</a:t>
                    </a:r>
                  </a:p>
                  <a:p>
                    <a:pPr>
                      <a:defRPr sz="1000" b="1" baseline="0">
                        <a:solidFill>
                          <a:srgbClr val="0070C0"/>
                        </a:solidFill>
                        <a:latin typeface="Arial" panose="020B0604020202020204" pitchFamily="34" charset="0"/>
                        <a:cs typeface="Times New Roman" panose="02020603050405020304" pitchFamily="18" charset="0"/>
                      </a:defRPr>
                    </a:pPr>
                    <a:endParaRPr lang="en-US" baseline="0">
                      <a:solidFill>
                        <a:srgbClr val="0070C0"/>
                      </a:solidFill>
                    </a:endParaRPr>
                  </a:p>
                </c:rich>
              </c:tx>
              <c:numFmt formatCode="#,##0.0" sourceLinked="0"/>
              <c:spPr>
                <a:ln w="6350"/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625786378089221E-3"/>
                  <c:y val="4.7582822200700845E-3"/>
                </c:manualLayout>
              </c:layout>
              <c:tx>
                <c:rich>
                  <a:bodyPr/>
                  <a:lstStyle/>
                  <a:p>
                    <a:pPr>
                      <a:defRPr sz="1000" b="1" baseline="0">
                        <a:solidFill>
                          <a:srgbClr val="C00000"/>
                        </a:solidFill>
                        <a:latin typeface="Arial" panose="020B0604020202020204" pitchFamily="34" charset="0"/>
                        <a:cs typeface="Times New Roman" panose="02020603050405020304" pitchFamily="18" charset="0"/>
                      </a:defRPr>
                    </a:pPr>
                    <a:r>
                      <a:rPr lang="ru-RU" sz="1000" baseline="0">
                        <a:solidFill>
                          <a:srgbClr val="C00000"/>
                        </a:solidFill>
                        <a:latin typeface="Arial" panose="020B0604020202020204" pitchFamily="34" charset="0"/>
                      </a:rPr>
                      <a:t>100,0</a:t>
                    </a:r>
                    <a:endParaRPr lang="en-US" baseline="0">
                      <a:solidFill>
                        <a:srgbClr val="C00000"/>
                      </a:solidFill>
                    </a:endParaRPr>
                  </a:p>
                </c:rich>
              </c:tx>
              <c:numFmt formatCode="#,##0.0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3716162429436358E-3"/>
                  <c:y val="-2.7257288026162505E-3"/>
                </c:manualLayout>
              </c:layout>
              <c:tx>
                <c:rich>
                  <a:bodyPr/>
                  <a:lstStyle/>
                  <a:p>
                    <a:pPr>
                      <a:defRPr sz="1000" b="1" baseline="0">
                        <a:solidFill>
                          <a:srgbClr val="00B050"/>
                        </a:solidFill>
                        <a:latin typeface="Arial" panose="020B0604020202020204" pitchFamily="34" charset="0"/>
                        <a:cs typeface="Times New Roman" panose="02020603050405020304" pitchFamily="18" charset="0"/>
                      </a:defRPr>
                    </a:pPr>
                    <a:r>
                      <a:rPr lang="ru-RU" sz="1000" baseline="0">
                        <a:solidFill>
                          <a:srgbClr val="00B050"/>
                        </a:solidFill>
                        <a:latin typeface="Arial" panose="020B0604020202020204" pitchFamily="34" charset="0"/>
                      </a:rPr>
                      <a:t>101,3</a:t>
                    </a:r>
                    <a:endParaRPr lang="en-US" baseline="0">
                      <a:solidFill>
                        <a:srgbClr val="00B050"/>
                      </a:solidFill>
                    </a:endParaRPr>
                  </a:p>
                </c:rich>
              </c:tx>
              <c:numFmt formatCode="#,##0.0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2129395870576835E-3"/>
                  <c:y val="-7.1010167050418339E-3"/>
                </c:manualLayout>
              </c:layout>
              <c:tx>
                <c:rich>
                  <a:bodyPr/>
                  <a:lstStyle/>
                  <a:p>
                    <a:pPr>
                      <a:defRPr sz="1000" b="1" baseline="0">
                        <a:solidFill>
                          <a:srgbClr val="7030A0"/>
                        </a:solidFill>
                        <a:latin typeface="Arial" panose="020B0604020202020204" pitchFamily="34" charset="0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99</a:t>
                    </a:r>
                    <a:r>
                      <a:rPr lang="ru-RU"/>
                      <a:t>,9</a:t>
                    </a:r>
                    <a:endParaRPr lang="en-US"/>
                  </a:p>
                </c:rich>
              </c:tx>
              <c:numFmt formatCode="#,##0.0" sourceLinked="0"/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380823064361323E-3"/>
                  <c:y val="4.3078305051440762E-3"/>
                </c:manualLayout>
              </c:layout>
              <c:tx>
                <c:rich>
                  <a:bodyPr/>
                  <a:lstStyle/>
                  <a:p>
                    <a:pPr>
                      <a:defRPr sz="1000" b="1" baseline="0">
                        <a:solidFill>
                          <a:srgbClr val="297083"/>
                        </a:solidFill>
                        <a:latin typeface="Arial" panose="020B0604020202020204" pitchFamily="34" charset="0"/>
                        <a:cs typeface="Times New Roman" panose="02020603050405020304" pitchFamily="18" charset="0"/>
                      </a:defRPr>
                    </a:pPr>
                    <a:r>
                      <a:rPr lang="ru-RU" sz="1000" baseline="0">
                        <a:solidFill>
                          <a:srgbClr val="297083"/>
                        </a:solidFill>
                        <a:latin typeface="Arial" panose="020B0604020202020204" pitchFamily="34" charset="0"/>
                      </a:rPr>
                      <a:t>100,0</a:t>
                    </a:r>
                    <a:endParaRPr lang="en-US" baseline="0">
                      <a:solidFill>
                        <a:srgbClr val="297083"/>
                      </a:solidFill>
                    </a:endParaRPr>
                  </a:p>
                </c:rich>
              </c:tx>
              <c:numFmt formatCode="#,##0.0" sourceLinked="0"/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597356181541139E-2"/>
                  <c:y val="-2.4174429176745064E-2"/>
                </c:manualLayout>
              </c:layout>
              <c:tx>
                <c:rich>
                  <a:bodyPr/>
                  <a:lstStyle/>
                  <a:p>
                    <a:r>
                      <a:rPr lang="ru-RU" sz="100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</a:rPr>
                      <a:t>87,4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263424518743668E-2"/>
                  <c:y val="-3.7763482179106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1000" b="1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Всего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паром, кондиционирование воздуха</c:v>
                </c:pt>
                <c:pt idx="4">
                  <c:v>Водоснабжение, водоотведение, организация сбора и утилизация отходов, деятельность по ликвидации загрязнений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101.2</c:v>
                </c:pt>
                <c:pt idx="1">
                  <c:v>100</c:v>
                </c:pt>
                <c:pt idx="2">
                  <c:v>101.3</c:v>
                </c:pt>
                <c:pt idx="3">
                  <c:v>99.9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"/>
        <c:axId val="112283648"/>
        <c:axId val="112285184"/>
      </c:barChart>
      <c:catAx>
        <c:axId val="1122836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2285184"/>
        <c:crossesAt val="99"/>
        <c:auto val="1"/>
        <c:lblAlgn val="ctr"/>
        <c:lblOffset val="100"/>
        <c:noMultiLvlLbl val="0"/>
      </c:catAx>
      <c:valAx>
        <c:axId val="112285184"/>
        <c:scaling>
          <c:orientation val="minMax"/>
          <c:max val="103"/>
          <c:min val="99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aseline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112283648"/>
        <c:crosses val="autoZero"/>
        <c:crossBetween val="between"/>
        <c:majorUnit val="1"/>
      </c:valAx>
      <c:spPr>
        <a:pattFill prst="pct5">
          <a:fgClr>
            <a:srgbClr val="4F81BD"/>
          </a:fgClr>
          <a:bgClr>
            <a:sysClr val="window" lastClr="FFFFFF"/>
          </a:bgClr>
        </a:pattFill>
      </c:spPr>
    </c:plotArea>
    <c:legend>
      <c:legendPos val="b"/>
      <c:layout>
        <c:manualLayout>
          <c:xMode val="edge"/>
          <c:yMode val="edge"/>
          <c:x val="7.4653857175998581E-2"/>
          <c:y val="0.61119167590682177"/>
          <c:w val="0.85069210369501036"/>
          <c:h val="0.35213552851348129"/>
        </c:manualLayout>
      </c:layout>
      <c:overlay val="0"/>
      <c:txPr>
        <a:bodyPr/>
        <a:lstStyle/>
        <a:p>
          <a:pPr>
            <a:defRPr sz="11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099440400138663E-2"/>
          <c:y val="7.7660812903118978E-2"/>
          <c:w val="0.89013811798115394"/>
          <c:h val="0.670268690640474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Растениеводство</c:v>
                </c:pt>
              </c:strCache>
            </c:strRef>
          </c:tx>
          <c:spPr>
            <a:solidFill>
              <a:srgbClr val="00B050"/>
            </a:solidFill>
            <a:ln w="23089">
              <a:noFill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000" baseline="0">
                        <a:solidFill>
                          <a:srgbClr val="007033"/>
                        </a:solidFill>
                      </a:rPr>
                      <a:t>100</a:t>
                    </a:r>
                    <a:r>
                      <a:rPr lang="ru-RU" sz="1000" baseline="0">
                        <a:solidFill>
                          <a:srgbClr val="007033"/>
                        </a:solidFill>
                      </a:rPr>
                      <a:t>,</a:t>
                    </a:r>
                    <a:r>
                      <a:rPr lang="en-US" sz="1000" baseline="0">
                        <a:solidFill>
                          <a:srgbClr val="007033"/>
                        </a:solidFill>
                      </a:rPr>
                      <a:t>9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000" baseline="0">
                        <a:solidFill>
                          <a:srgbClr val="007033"/>
                        </a:solidFill>
                      </a:rPr>
                      <a:t>10</a:t>
                    </a:r>
                    <a:r>
                      <a:rPr lang="ru-RU" sz="1000" baseline="0">
                        <a:solidFill>
                          <a:srgbClr val="007033"/>
                        </a:solidFill>
                      </a:rPr>
                      <a:t>0,6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759170653907496E-2"/>
                  <c:y val="4.206098843322818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100</a:t>
                    </a:r>
                    <a:r>
                      <a:rPr lang="ru-RU" baseline="0"/>
                      <a:t>,</a:t>
                    </a:r>
                    <a:r>
                      <a:rPr lang="en-US" baseline="0"/>
                      <a:t>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75917065390741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100</a:t>
                    </a:r>
                    <a:r>
                      <a:rPr lang="ru-RU" baseline="0"/>
                      <a:t>,</a:t>
                    </a:r>
                    <a:r>
                      <a:rPr lang="en-US" baseline="0"/>
                      <a:t>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530568846358323E-3"/>
                  <c:y val="-8.412197686645597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3089">
                <a:noFill/>
              </a:ln>
            </c:spPr>
            <c:txPr>
              <a:bodyPr/>
              <a:lstStyle/>
              <a:p>
                <a:pPr>
                  <a:defRPr sz="1000" baseline="0">
                    <a:solidFill>
                      <a:srgbClr val="007033"/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100.9</c:v>
                </c:pt>
                <c:pt idx="1">
                  <c:v>100.6</c:v>
                </c:pt>
                <c:pt idx="2" formatCode="General">
                  <c:v>100.3</c:v>
                </c:pt>
                <c:pt idx="3" formatCode="0.00">
                  <c:v>100</c:v>
                </c:pt>
                <c:pt idx="4" formatCode="0.00">
                  <c:v>100.6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Животноводство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759170653907496E-2"/>
                  <c:y val="8.41219768664563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5061137692716646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1000" baseline="0">
                    <a:solidFill>
                      <a:srgbClr val="C00000"/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100.5</c:v>
                </c:pt>
                <c:pt idx="1">
                  <c:v>99.7</c:v>
                </c:pt>
                <c:pt idx="2" formatCode="General">
                  <c:v>100.9</c:v>
                </c:pt>
                <c:pt idx="3" formatCode="0.00">
                  <c:v>100.3</c:v>
                </c:pt>
                <c:pt idx="4" formatCode="0.00">
                  <c:v>99.3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4"/>
        <c:axId val="111991424"/>
        <c:axId val="111993216"/>
      </c:barChart>
      <c:catAx>
        <c:axId val="11199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1993216"/>
        <c:crosses val="autoZero"/>
        <c:auto val="1"/>
        <c:lblAlgn val="ctr"/>
        <c:lblOffset val="100"/>
        <c:noMultiLvlLbl val="0"/>
      </c:catAx>
      <c:valAx>
        <c:axId val="111993216"/>
        <c:scaling>
          <c:orientation val="minMax"/>
          <c:max val="102"/>
          <c:min val="99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1991424"/>
        <c:crosses val="autoZero"/>
        <c:crossBetween val="between"/>
        <c:majorUnit val="1"/>
        <c:minorUnit val="0.2"/>
      </c:valAx>
      <c:spPr>
        <a:pattFill prst="pct5">
          <a:fgClr>
            <a:srgbClr val="4F81BD"/>
          </a:fgClr>
          <a:bgClr>
            <a:sysClr val="window" lastClr="FFFFFF"/>
          </a:bgClr>
        </a:pattFill>
      </c:spPr>
    </c:plotArea>
    <c:legend>
      <c:legendPos val="b"/>
      <c:layout/>
      <c:overlay val="0"/>
      <c:spPr>
        <a:ln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AECF-76FF-4FAC-84D7-AFB77795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Кизон Екатерина Андреевна</dc:creator>
  <cp:lastModifiedBy>Лычкина Ольга Александровна</cp:lastModifiedBy>
  <cp:revision>74</cp:revision>
  <cp:lastPrinted>2020-05-20T11:55:00Z</cp:lastPrinted>
  <dcterms:created xsi:type="dcterms:W3CDTF">2020-03-18T05:47:00Z</dcterms:created>
  <dcterms:modified xsi:type="dcterms:W3CDTF">2020-06-04T09:20:00Z</dcterms:modified>
</cp:coreProperties>
</file>